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9"/>
        <w:gridCol w:w="1512"/>
        <w:gridCol w:w="2602"/>
        <w:gridCol w:w="16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5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5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Style w:val="24"/>
              </w:rPr>
            </w:pPr>
            <w:r>
              <w:rPr>
                <w:rStyle w:val="24"/>
              </w:rPr>
              <w:t>Директор МБОУ «Дядьковская СШ»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«Дядьковская СШ»</w:t>
            </w:r>
          </w:p>
        </w:tc>
        <w:tc>
          <w:tcPr>
            <w:tcW w:w="15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В.Ю. Мишин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от 15.04.2021 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16.04.202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</w:p>
    <w:p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«Дядьковская средняя школа» муниципального образования –</w:t>
      </w:r>
    </w:p>
    <w:p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Рязанский муниципальный район Рязанской области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>
        <w:rPr>
          <w:b/>
          <w:bCs/>
          <w:color w:val="252525"/>
          <w:spacing w:val="-2"/>
          <w:sz w:val="40"/>
          <w:szCs w:val="40"/>
          <w:lang w:val="ru-RU"/>
        </w:rPr>
        <w:t>АНАЛИТИЧЕСКАЯ ЧАСТЬ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8"/>
        <w:gridCol w:w="55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«Дядьковская средняя школа» муниципального образования – Рязанский муниципальный район Рязанской области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(МБОУ «Дядьковская СШ»)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Вадим Юрьевич Мишин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ar-SA"/>
              </w:rPr>
              <w:t>390507 Рязанская область, Рязанский район, с. Дядьково, 2-й Бульварный пр-д. зд. 5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lang w:eastAsia="ar-SA"/>
              </w:rPr>
              <w:t>тел./факс: (4912) 47-44-17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dyadkovoschool@mail.ru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Cs w:val="23"/>
                <w:shd w:val="clear" w:color="auto" w:fill="FFFFFF"/>
                <w:lang w:val="ru-RU"/>
              </w:rPr>
              <w:t>Рязанский муниципальный район Рязанской области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№15427 от «28» августа 2020 г. выдана министерством образования и молодежной политики Рязанской области, действительна бессрочно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МБОУ «Дядьковская средняя школа» (далее – Школа) является реализация общеобразовательных программ: 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 и взрослых.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с. Дядьково рязанского района. Рязанской области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Большинство семей обучающихся проживает в домах высотной застройки: 60 % − рядом со школой, 40 % − в радиусе 5 км от нее.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Style w:val="4"/>
        <w:tblW w:w="999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8"/>
        <w:gridCol w:w="7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созданы методические объединения:</w:t>
      </w:r>
    </w:p>
    <w:p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учителей русского языка и литературы;</w:t>
      </w:r>
    </w:p>
    <w:p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учителей естественно-научных и математических дисциплин;</w:t>
      </w:r>
    </w:p>
    <w:p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начальных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учителей технологии, физической культуры и ИЗО;</w:t>
      </w:r>
    </w:p>
    <w:p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учителей английского языка, истории и обществознания.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2. Режим образовательной деятельности</w:t>
      </w:r>
    </w:p>
    <w:tbl>
      <w:tblPr>
        <w:tblStyle w:val="4"/>
        <w:tblW w:w="977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763"/>
        <w:gridCol w:w="3381"/>
        <w:gridCol w:w="1559"/>
        <w:gridCol w:w="2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Ступенчатый режим в начальной школе:</w:t>
            </w:r>
          </w:p>
          <w:p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  <w:p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и старшее звено:</w:t>
            </w:r>
          </w:p>
          <w:p>
            <w:pPr>
              <w:pStyle w:val="18"/>
              <w:numPr>
                <w:ilvl w:val="0"/>
                <w:numId w:val="7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минут (сентябрь – май)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классы – 33 недели</w:t>
            </w: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2-10 классы –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2020 году на сайте ОО был создан специальный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коронавирусной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Перечень документов, регламентирующий функционирование Школы в условиях коронавирусной инфекции</w:t>
      </w:r>
    </w:p>
    <w:tbl>
      <w:tblPr>
        <w:tblStyle w:val="4"/>
        <w:tblW w:w="977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3"/>
        <w:gridCol w:w="3617"/>
        <w:gridCol w:w="2631"/>
        <w:gridCol w:w="16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3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локального акта</w:t>
            </w:r>
          </w:p>
        </w:tc>
        <w:tc>
          <w:tcPr>
            <w:tcW w:w="2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Август–декабрь 2020</w:t>
            </w:r>
          </w:p>
        </w:tc>
        <w:tc>
          <w:tcPr>
            <w:tcW w:w="3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организации работы МБОУ «Дядьковская СШ» по требованиям СП 3.1/2.4.3598–20</w:t>
            </w:r>
          </w:p>
        </w:tc>
        <w:tc>
          <w:tcPr>
            <w:tcW w:w="2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dyadkovoschool@mail.ru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организованном начале 2020/2021 учебного года</w:t>
            </w:r>
          </w:p>
        </w:tc>
        <w:tc>
          <w:tcPr>
            <w:tcW w:w="2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dyadkovoschool@mail.ru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Общая численность обучающихся, осваивающих образовательные программы в 2020 году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9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</w:tbl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среднего общего образования.</w:t>
      </w:r>
    </w:p>
    <w:p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10 класса обучаются по ФГОС СОО. В целях профилизации на углубленном уровне изучаются предметы: русский язык, история, иностранный язык. 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5.1, вариант 5.2);</w:t>
      </w:r>
    </w:p>
    <w:p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7.1, вариант 7.2);</w:t>
      </w:r>
    </w:p>
    <w:p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задержкой психического развития.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здоровья:</w:t>
      </w:r>
    </w:p>
    <w:p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тяжелыми нарушениями речи – 3 (0,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>
        <w:rPr>
          <w:rFonts w:hAnsi="Times New Roman" w:cs="Times New Roman"/>
          <w:color w:val="000000"/>
          <w:sz w:val="24"/>
          <w:szCs w:val="24"/>
        </w:rPr>
        <w:t>%);</w:t>
      </w:r>
    </w:p>
    <w:p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задержкой психического развития - </w:t>
      </w:r>
      <w:r>
        <w:rPr>
          <w:rFonts w:hAnsi="Times New Roman" w:cs="Times New Roman"/>
          <w:color w:val="000000"/>
          <w:sz w:val="24"/>
          <w:szCs w:val="24"/>
        </w:rPr>
        <w:t>15 (3,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%);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внеурочной деятельности соответствует требованиям ФГОС. </w:t>
      </w:r>
      <w:r>
        <w:rPr>
          <w:rFonts w:hAnsi="Times New Roman" w:cs="Times New Roman"/>
          <w:color w:val="000000"/>
          <w:sz w:val="24"/>
          <w:szCs w:val="24"/>
        </w:rPr>
        <w:t>Структура программ внеурочной деятельности в соответствии с ФГОС включает:</w:t>
      </w:r>
    </w:p>
    <w:p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программы по внеурочной деятельности имеют аннотации и размещены на официальном сайте Школы.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 курсы внеурочной деятельности (кроме физкультурно-оздоровительного направления) реализовывались в дистанционном формате:</w:t>
      </w:r>
    </w:p>
    <w:p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были внесены изменения в положение о внеурочной деятельности, в рабочие программы курсов и скорректировано КТП;</w:t>
      </w:r>
    </w:p>
    <w:p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предусматривая дифференциацию по классам и время проведения занятия не более 30 минут;</w:t>
      </w:r>
    </w:p>
    <w:p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первой четверти 2020–2021 учебного года занятия по внеурочной деятельности проводились в традиционном очном формате. Со второй четверти – в гибридном формате с учетом эпидемиологической обстановки и переводом отдельных классов на дистанционное обучение по предписанию Роспотребнадзора. В очной форме проводились занятия внеурочной деятельности, которые невозможно вынести на дистант: спортивно-оздоровительные программы и курсы некоторых других направлений, которые требуют очного взаимодействия. Например, курс по кулинарии «Вкусно и просто», курс «Дети онлайн» с применением школьных ноутбуков в рамках развития ЦОС.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план внеурочной деятельности ОО были включены блоки курсов для обучающихся не только начальной, основной, но и средней школы, так как осенью 2020 года 10-е классы перешли на ФГОС СОО.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по внеурочной деятельности выполнен в полном объеме, в основном удалось сохранить контингент учеников.</w:t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highlight w:val="non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highlight w:val="none"/>
          <w:lang w:val="ru-RU"/>
        </w:rPr>
        <w:t>Воспитательная работа</w:t>
      </w:r>
    </w:p>
    <w:p>
      <w:pPr>
        <w:spacing w:before="0" w:beforeAutospacing="0" w:after="150" w:afterAutospacing="0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val="ru-RU" w:eastAsia="ru-RU"/>
        </w:rPr>
        <w:br w:type="textWrapping"/>
      </w:r>
    </w:p>
    <w:p>
      <w:pPr>
        <w:spacing w:before="0" w:beforeAutospacing="0" w:after="150" w:afterAutospacing="0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С 01.09.2021 МБОУ «Дядьковская СШ»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МБОУ «Дядьковская СШ»:</w:t>
      </w:r>
    </w:p>
    <w:p>
      <w:pPr>
        <w:spacing w:before="0" w:beforeAutospacing="0" w:after="150" w:afterAutospacing="0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br w:type="textWrapping"/>
      </w:r>
      <w:r>
        <w:rPr>
          <w:rFonts w:eastAsia="Times New Roman" w:cstheme="minorHAnsi"/>
          <w:sz w:val="24"/>
          <w:szCs w:val="24"/>
          <w:lang w:val="ru-RU" w:eastAsia="ru-RU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br w:type="textWrapping"/>
      </w:r>
      <w:r>
        <w:rPr>
          <w:rFonts w:eastAsia="Times New Roman" w:cstheme="minorHAnsi"/>
          <w:sz w:val="24"/>
          <w:szCs w:val="24"/>
          <w:lang w:val="ru-RU" w:eastAsia="ru-RU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br w:type="textWrapping"/>
      </w:r>
      <w:r>
        <w:rPr>
          <w:rFonts w:eastAsia="Times New Roman" w:cstheme="minorHAnsi"/>
          <w:sz w:val="24"/>
          <w:szCs w:val="24"/>
          <w:lang w:val="ru-RU" w:eastAsia="ru-RU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br w:type="textWrapping"/>
      </w:r>
      <w:r>
        <w:rPr>
          <w:rFonts w:eastAsia="Times New Roman" w:cstheme="minorHAnsi"/>
          <w:sz w:val="24"/>
          <w:szCs w:val="24"/>
          <w:lang w:val="ru-RU" w:eastAsia="ru-RU"/>
        </w:rPr>
        <w:t>5) поддерживает ученическое самоуправление — как на уровне школы, так и на уровне классных сообществ;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br w:type="textWrapping"/>
      </w:r>
      <w:r>
        <w:rPr>
          <w:rFonts w:eastAsia="Times New Roman" w:cstheme="minorHAnsi"/>
          <w:sz w:val="24"/>
          <w:szCs w:val="24"/>
          <w:lang w:val="ru-RU" w:eastAsia="ru-RU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br w:type="textWrapping"/>
      </w:r>
      <w:r>
        <w:rPr>
          <w:rFonts w:eastAsia="Times New Roman" w:cstheme="minorHAnsi"/>
          <w:sz w:val="24"/>
          <w:szCs w:val="24"/>
          <w:lang w:val="ru-RU" w:eastAsia="ru-RU"/>
        </w:rPr>
        <w:t>7) организует для школьников экскурсии, экспедиции, походы и реализует их воспитательный потенциал;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br w:type="textWrapping"/>
      </w:r>
      <w:r>
        <w:rPr>
          <w:rFonts w:eastAsia="Times New Roman" w:cstheme="minorHAnsi"/>
          <w:sz w:val="24"/>
          <w:szCs w:val="24"/>
          <w:lang w:val="ru-RU" w:eastAsia="ru-RU"/>
        </w:rPr>
        <w:t>8) организует профориентационную работу со школьниками;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br w:type="textWrapping"/>
      </w:r>
      <w:r>
        <w:rPr>
          <w:rFonts w:eastAsia="Times New Roman" w:cstheme="minorHAnsi"/>
          <w:sz w:val="24"/>
          <w:szCs w:val="24"/>
          <w:lang w:val="ru-RU" w:eastAsia="ru-RU"/>
        </w:rPr>
        <w:t>9) развивает предметно-эстетическую среду Школы и реализует ее воспитательные возможности;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br w:type="textWrapping"/>
      </w:r>
      <w:r>
        <w:rPr>
          <w:rFonts w:eastAsia="Times New Roman" w:cstheme="minorHAnsi"/>
          <w:sz w:val="24"/>
          <w:szCs w:val="24"/>
          <w:lang w:val="ru-RU" w:eastAsia="ru-RU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>
      <w:pPr>
        <w:spacing w:before="0" w:beforeAutospacing="0" w:after="150" w:afterAutospacing="0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За 4 месяца реализации программы воспитания родители и ученики выражают удовлетворенность воспитательным процессом в МБОУ «Дядьковская СШ».  Вместе с тем, на родительских собраниях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2022-23 учебный год.</w:t>
      </w:r>
    </w:p>
    <w:p>
      <w:pPr>
        <w:rPr>
          <w:lang w:val="ru-RU"/>
        </w:rPr>
      </w:pPr>
      <w:r>
        <w:rPr>
          <w:lang w:val="ru-RU"/>
        </w:rPr>
        <w:t>За  2021</w:t>
      </w:r>
      <w:r>
        <w:t> </w:t>
      </w:r>
      <w:r>
        <w:rPr>
          <w:lang w:val="ru-RU"/>
        </w:rPr>
        <w:t>год педагоги МБОУ «Дядьковская СШ» приняли участие в обучающих онлайн-семинарах совместно со</w:t>
      </w:r>
      <w:r>
        <w:t> </w:t>
      </w:r>
      <w:r>
        <w:rPr>
          <w:lang w:val="ru-RU"/>
        </w:rPr>
        <w:t>специалистами Центра профилактики «Родители за мир без преступности, насилия и наркотиков»</w:t>
      </w:r>
      <w:r>
        <w:t> </w:t>
      </w:r>
      <w:r>
        <w:rPr>
          <w:lang w:val="ru-RU"/>
        </w:rPr>
        <w:t>и КДН и ЗП Рязанского района,  по</w:t>
      </w:r>
      <w:r>
        <w:t> </w:t>
      </w:r>
      <w:r>
        <w:rPr>
          <w:lang w:val="ru-RU"/>
        </w:rPr>
        <w:t>вопросам здорового образа</w:t>
      </w:r>
      <w:r>
        <w:t> </w:t>
      </w:r>
      <w:r>
        <w:rPr>
          <w:lang w:val="ru-RU"/>
        </w:rPr>
        <w:t>жизни, диагностики неадекватного состояния учащихся. В школе проводилась систематическая работа с</w:t>
      </w:r>
      <w:r>
        <w:t> </w:t>
      </w:r>
      <w:r>
        <w:rPr>
          <w:lang w:val="ru-RU"/>
        </w:rPr>
        <w:t>родителями по</w:t>
      </w:r>
      <w:r>
        <w:t> </w:t>
      </w:r>
      <w:r>
        <w:rPr>
          <w:lang w:val="ru-RU"/>
        </w:rPr>
        <w:t>разъяснению</w:t>
      </w:r>
      <w:r>
        <w:t> </w:t>
      </w:r>
      <w:r>
        <w:rPr>
          <w:lang w:val="ru-RU"/>
        </w:rPr>
        <w:t>уголовной и</w:t>
      </w:r>
      <w:r>
        <w:t> </w:t>
      </w:r>
      <w:r>
        <w:rPr>
          <w:lang w:val="ru-RU"/>
        </w:rPr>
        <w:t>административной ответственности за</w:t>
      </w:r>
      <w:r>
        <w:t> </w:t>
      </w:r>
      <w:r>
        <w:rPr>
          <w:lang w:val="ru-RU"/>
        </w:rPr>
        <w:t>преступления и</w:t>
      </w:r>
      <w:r>
        <w:t> </w:t>
      </w:r>
      <w:r>
        <w:rPr>
          <w:lang w:val="ru-RU"/>
        </w:rPr>
        <w:t>правонарушения, связанные с</w:t>
      </w:r>
      <w:r>
        <w:t> </w:t>
      </w:r>
      <w:r>
        <w:rPr>
          <w:lang w:val="ru-RU"/>
        </w:rPr>
        <w:t>незаконным оборотом наркотиков,</w:t>
      </w:r>
      <w:r>
        <w:t> </w:t>
      </w:r>
      <w:r>
        <w:rPr>
          <w:lang w:val="ru-RU"/>
        </w:rPr>
        <w:t>незаконным потреблением наркотиков и</w:t>
      </w:r>
      <w:r>
        <w:t> </w:t>
      </w:r>
      <w:r>
        <w:rPr>
          <w:lang w:val="ru-RU"/>
        </w:rPr>
        <w:t>других ПАВ, не</w:t>
      </w:r>
      <w:r>
        <w:t> </w:t>
      </w:r>
      <w:r>
        <w:rPr>
          <w:lang w:val="ru-RU"/>
        </w:rPr>
        <w:t>выполнением родителями своих обязанностей по</w:t>
      </w:r>
      <w:r>
        <w:t> </w:t>
      </w:r>
      <w:r>
        <w:rPr>
          <w:lang w:val="ru-RU"/>
        </w:rPr>
        <w:t>воспитанию детей.</w:t>
      </w:r>
    </w:p>
    <w:p>
      <w:r>
        <w:t>В соответствии с планами воспитательной работы для учеников и родителей были организованы:</w:t>
      </w:r>
    </w:p>
    <w:p>
      <w:pPr>
        <w:pStyle w:val="18"/>
        <w:numPr>
          <w:ilvl w:val="0"/>
          <w:numId w:val="14"/>
        </w:numPr>
      </w:pPr>
      <w:r>
        <w:t>участие в конкурсе социальных плакатов «Я за ЗОЖ»;</w:t>
      </w:r>
    </w:p>
    <w:p>
      <w:pPr>
        <w:pStyle w:val="18"/>
        <w:numPr>
          <w:ilvl w:val="0"/>
          <w:numId w:val="14"/>
        </w:numPr>
        <w:rPr>
          <w:lang w:val="ru-RU"/>
        </w:rPr>
      </w:pPr>
      <w:r>
        <w:rPr>
          <w:lang w:val="ru-RU"/>
        </w:rPr>
        <w:t>профилактическая работа по формированию здорового образа жизни среди учащихся на основании школьной программы «Спорт и здоровье»;</w:t>
      </w:r>
    </w:p>
    <w:p>
      <w:pPr>
        <w:pStyle w:val="18"/>
        <w:numPr>
          <w:ilvl w:val="0"/>
          <w:numId w:val="14"/>
        </w:numPr>
      </w:pPr>
      <w:r>
        <w:t>участие в районном конкурсе антинаркотической социальной рекламы «Цени свою жизнь;</w:t>
      </w:r>
    </w:p>
    <w:p>
      <w:pPr>
        <w:pStyle w:val="18"/>
        <w:numPr>
          <w:ilvl w:val="0"/>
          <w:numId w:val="14"/>
        </w:numPr>
      </w:pPr>
      <w:r>
        <w:t>классные часы и беседы на антинаркотические темы с использованием ИКТ-технологий;</w:t>
      </w:r>
    </w:p>
    <w:p>
      <w:pPr>
        <w:pStyle w:val="18"/>
        <w:numPr>
          <w:ilvl w:val="0"/>
          <w:numId w:val="14"/>
        </w:numPr>
      </w:pPr>
      <w:r>
        <w:t>книжная выставка «Я выбираю жизнь» в школьной библиотеке;</w:t>
      </w:r>
    </w:p>
    <w:p>
      <w:pPr>
        <w:pStyle w:val="18"/>
        <w:numPr>
          <w:ilvl w:val="0"/>
          <w:numId w:val="14"/>
        </w:numPr>
        <w:rPr>
          <w:lang w:val="ru-RU"/>
        </w:rPr>
      </w:pPr>
      <w:r>
        <w:rPr>
          <w:lang w:val="ru-RU"/>
        </w:rPr>
        <w:t>лекции-беседы с</w:t>
      </w:r>
      <w:r>
        <w:t> </w:t>
      </w:r>
      <w:r>
        <w:rPr>
          <w:lang w:val="ru-RU"/>
        </w:rPr>
        <w:t>участием сотрудников МВД и КДН и ЗП;</w:t>
      </w:r>
    </w:p>
    <w:p>
      <w:pPr>
        <w:pStyle w:val="18"/>
        <w:numPr>
          <w:ilvl w:val="0"/>
          <w:numId w:val="14"/>
        </w:numPr>
        <w:rPr>
          <w:lang w:val="ru-RU"/>
        </w:rPr>
      </w:pPr>
      <w:r>
        <w:rPr>
          <w:lang w:val="ru-RU"/>
        </w:rPr>
        <w:t>размещение информационных материалов по антинаркотической и антиалкогольной пропаганде с учетом возрастных психологических особенностей детей и подростков;</w:t>
      </w:r>
    </w:p>
    <w:p>
      <w:pPr>
        <w:pStyle w:val="18"/>
        <w:numPr>
          <w:ilvl w:val="0"/>
          <w:numId w:val="14"/>
        </w:numPr>
        <w:rPr>
          <w:lang w:val="ru-RU"/>
        </w:rPr>
      </w:pPr>
      <w:r>
        <w:rPr>
          <w:lang w:val="ru-RU"/>
        </w:rPr>
        <w:t>программа «Школьный кинозал» с показом «Киноуроков»;</w:t>
      </w:r>
    </w:p>
    <w:p>
      <w:pPr>
        <w:pStyle w:val="18"/>
        <w:numPr>
          <w:ilvl w:val="0"/>
          <w:numId w:val="14"/>
        </w:numPr>
        <w:rPr>
          <w:lang w:val="ru-RU"/>
        </w:rPr>
      </w:pPr>
      <w:r>
        <w:rPr>
          <w:lang w:val="ru-RU"/>
        </w:rPr>
        <w:t>организованы и проведены спортивные праздники, дни здоровья, антинаркотические и антиалкогольные акции, конкуры, тематические встречи, кинолектории</w:t>
      </w:r>
    </w:p>
    <w:p>
      <w:pPr>
        <w:spacing w:before="0" w:beforeAutospacing="0" w:after="15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>
      <w:pPr>
        <w:spacing w:before="0" w:beforeAutospacing="0" w:after="150" w:afterAutospacing="0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Дополнительное образование</w:t>
      </w:r>
    </w:p>
    <w:p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Дополнительное образование ведется по программам следующей направленности:</w:t>
      </w:r>
    </w:p>
    <w:p>
      <w:pPr>
        <w:pStyle w:val="18"/>
        <w:numPr>
          <w:ilvl w:val="0"/>
          <w:numId w:val="15"/>
        </w:numPr>
      </w:pPr>
      <w:r>
        <w:t>естественнонаучное;</w:t>
      </w:r>
    </w:p>
    <w:p>
      <w:pPr>
        <w:pStyle w:val="18"/>
        <w:numPr>
          <w:ilvl w:val="0"/>
          <w:numId w:val="15"/>
        </w:numPr>
      </w:pPr>
      <w:r>
        <w:t>техническое;</w:t>
      </w:r>
    </w:p>
    <w:p>
      <w:pPr>
        <w:pStyle w:val="18"/>
        <w:numPr>
          <w:ilvl w:val="0"/>
          <w:numId w:val="15"/>
        </w:numPr>
      </w:pPr>
      <w:r>
        <w:t>художественное;</w:t>
      </w:r>
    </w:p>
    <w:p>
      <w:pPr>
        <w:pStyle w:val="18"/>
        <w:numPr>
          <w:ilvl w:val="0"/>
          <w:numId w:val="15"/>
        </w:numPr>
      </w:pPr>
      <w:r>
        <w:t>физкультурно-спортивное;</w:t>
      </w:r>
    </w:p>
    <w:p>
      <w:pPr>
        <w:pStyle w:val="18"/>
        <w:numPr>
          <w:ilvl w:val="0"/>
          <w:numId w:val="15"/>
        </w:numPr>
      </w:pPr>
      <w:r>
        <w:t>туристско-краеведческое.</w:t>
      </w:r>
    </w:p>
    <w:p>
      <w:pPr>
        <w:rPr>
          <w:lang w:val="ru-RU"/>
        </w:rPr>
      </w:pPr>
      <w:r>
        <w:rPr>
          <w:lang w:val="ru-RU"/>
        </w:rPr>
        <w:t>Выбор направлений осуществлен на</w:t>
      </w:r>
      <w:r>
        <w:t> </w:t>
      </w:r>
      <w:r>
        <w:rPr>
          <w:lang w:val="ru-RU"/>
        </w:rPr>
        <w:t>основании опроса обучающихся и</w:t>
      </w:r>
      <w:r>
        <w:t> </w:t>
      </w:r>
      <w:r>
        <w:rPr>
          <w:lang w:val="ru-RU"/>
        </w:rPr>
        <w:t>родителей, который провели в</w:t>
      </w:r>
      <w:r>
        <w:t> </w:t>
      </w:r>
      <w:r>
        <w:rPr>
          <w:lang w:val="ru-RU"/>
        </w:rPr>
        <w:t>сентябре 2021</w:t>
      </w:r>
      <w:r>
        <w:t> </w:t>
      </w:r>
      <w:r>
        <w:rPr>
          <w:lang w:val="ru-RU"/>
        </w:rPr>
        <w:t>года. По</w:t>
      </w:r>
      <w:r>
        <w:t> </w:t>
      </w:r>
      <w:r>
        <w:rPr>
          <w:lang w:val="ru-RU"/>
        </w:rPr>
        <w:t>итогам опроса 720</w:t>
      </w:r>
      <w:r>
        <w:t> </w:t>
      </w:r>
      <w:r>
        <w:rPr>
          <w:lang w:val="ru-RU"/>
        </w:rPr>
        <w:t>обучающихся и</w:t>
      </w:r>
      <w:r>
        <w:t> </w:t>
      </w:r>
      <w:r>
        <w:rPr>
          <w:lang w:val="ru-RU"/>
        </w:rPr>
        <w:t>их родителей выявили, что естественно-научное направление выбрало 37</w:t>
      </w:r>
      <w:r>
        <w:t> </w:t>
      </w:r>
      <w:r>
        <w:rPr>
          <w:lang w:val="ru-RU"/>
        </w:rPr>
        <w:t>процентов, туристско-краеведческое</w:t>
      </w:r>
      <w:r>
        <w:t> </w:t>
      </w:r>
      <w:r>
        <w:rPr>
          <w:lang w:val="ru-RU"/>
        </w:rPr>
        <w:t>—12 процентов,</w:t>
      </w:r>
      <w:r>
        <w:t> </w:t>
      </w:r>
      <w:r>
        <w:rPr>
          <w:lang w:val="ru-RU"/>
        </w:rPr>
        <w:t>техническое</w:t>
      </w:r>
      <w:r>
        <w:t> </w:t>
      </w:r>
      <w:r>
        <w:rPr>
          <w:lang w:val="ru-RU"/>
        </w:rPr>
        <w:t>— 23</w:t>
      </w:r>
      <w:r>
        <w:t> </w:t>
      </w:r>
      <w:r>
        <w:rPr>
          <w:lang w:val="ru-RU"/>
        </w:rPr>
        <w:t>процентов, художественное</w:t>
      </w:r>
      <w:r>
        <w:t> </w:t>
      </w:r>
      <w:r>
        <w:rPr>
          <w:lang w:val="ru-RU"/>
        </w:rPr>
        <w:t>— 47</w:t>
      </w:r>
      <w:r>
        <w:t> </w:t>
      </w:r>
      <w:r>
        <w:rPr>
          <w:lang w:val="ru-RU"/>
        </w:rPr>
        <w:t>процентов, физкультурно-спортивное</w:t>
      </w:r>
      <w:r>
        <w:t> </w:t>
      </w:r>
      <w:r>
        <w:rPr>
          <w:lang w:val="ru-RU"/>
        </w:rPr>
        <w:t>— 54процентов.</w:t>
      </w:r>
    </w:p>
    <w:p>
      <w:pPr>
        <w:rPr>
          <w:lang w:val="ru-RU"/>
        </w:rPr>
      </w:pPr>
      <w:r>
        <w:t xml:space="preserve">Во второй половине 2020/2021 учебного года и в первой половине 2021/2022 учебного года пришлось периодически проводить дистанционные занятия по программам дополнительного образования. </w:t>
      </w:r>
      <w:r>
        <w:rPr>
          <w:lang w:val="ru-RU"/>
        </w:rPr>
        <w:t>Учет родительского мнения показал, что</w:t>
      </w:r>
      <w:r>
        <w:t> </w:t>
      </w:r>
      <w:r>
        <w:rPr>
          <w:lang w:val="ru-RU"/>
        </w:rPr>
        <w:t>большая половина родителей (законных представителей) обучающихся не</w:t>
      </w:r>
      <w:r>
        <w:t> </w:t>
      </w:r>
      <w:r>
        <w:rPr>
          <w:lang w:val="ru-RU"/>
        </w:rPr>
        <w:t>удовлетворены подобным форматом занятий по</w:t>
      </w:r>
      <w:r>
        <w:t> </w:t>
      </w:r>
      <w:r>
        <w:rPr>
          <w:lang w:val="ru-RU"/>
        </w:rPr>
        <w:t>дополнительному образованию.</w:t>
      </w:r>
    </w:p>
    <w:p>
      <w:pPr>
        <w:rPr>
          <w:lang w:val="ru-RU"/>
        </w:rPr>
      </w:pPr>
      <w:r>
        <w:t xml:space="preserve">Анализ данных по посещению детьми занятий дополнительного образования показывает снижение показателя по охвату в связи с переходом на дистанционный режим, особенно по программам технической и физкультурно-спортивной направленности, что является закономерным. </w:t>
      </w:r>
      <w:r>
        <w:rPr>
          <w:lang w:val="ru-RU"/>
        </w:rPr>
        <w:t>Тем не</w:t>
      </w:r>
      <w:r>
        <w:t> </w:t>
      </w:r>
      <w:r>
        <w:rPr>
          <w:lang w:val="ru-RU"/>
        </w:rPr>
        <w:t>менее опрос родителей (законных представителей) обучающихся в</w:t>
      </w:r>
      <w:r>
        <w:t> </w:t>
      </w:r>
      <w:r>
        <w:rPr>
          <w:lang w:val="ru-RU"/>
        </w:rPr>
        <w:t>сентябре 2021</w:t>
      </w:r>
      <w:r>
        <w:t> </w:t>
      </w:r>
      <w:r>
        <w:rPr>
          <w:lang w:val="ru-RU"/>
        </w:rPr>
        <w:t>года показал, что большая часть опрошенных в</w:t>
      </w:r>
      <w:r>
        <w:t> </w:t>
      </w:r>
      <w:r>
        <w:rPr>
          <w:lang w:val="ru-RU"/>
        </w:rPr>
        <w:t>целом удовлетворены качеством дополнительного образования в</w:t>
      </w:r>
      <w:r>
        <w:t> </w:t>
      </w:r>
      <w:r>
        <w:rPr>
          <w:lang w:val="ru-RU"/>
        </w:rPr>
        <w:t>МБОУ «Дядьковская СШ».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val="ru-RU" w:eastAsia="ru-RU"/>
        </w:rPr>
        <w:drawing>
          <wp:inline distT="0" distB="0" distL="0" distR="0">
            <wp:extent cx="5774055" cy="4493260"/>
            <wp:effectExtent l="0" t="0" r="0" b="2540"/>
            <wp:docPr id="1" name="Рисунок 1" descr="https://1obraz.ru/system/content/image/51/1/-322853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1obraz.ru/system/content/image/51/1/-32285367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6850" cy="450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классными руководителями использовались различные формы работы с обучающимися и их родителями:</w:t>
      </w:r>
    </w:p>
    <w:p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классные часы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чтецов, в том числе и дистанционно;</w:t>
      </w:r>
    </w:p>
    <w:p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олимпиадах, том числе и дистанционно;</w:t>
      </w:r>
    </w:p>
    <w:p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учащимися ;</w:t>
      </w:r>
    </w:p>
    <w:p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родителями;</w:t>
      </w:r>
    </w:p>
    <w:p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собрания, в том числе и дистанционно.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начало 2021/22 учебного года в школе сформировано 27 общеобразовательных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МБОУ «Дядьковская СШ».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-19)"» массовые мероприятия в образовательных организациях запрещены до 01.01.2022. В сложившейся ситуации школьные и классные воспитательные мероприятия в сентябре и начале октября проводились классными руководителями в своих классах. В период дистанционного обучения февраль 2021 года  воспитательная работа  для учащихся 5-8 классов школы осуществляется в дистанционном формате.</w:t>
      </w:r>
    </w:p>
    <w:p>
      <w:pPr>
        <w:shd w:val="clear" w:color="auto"/>
        <w:jc w:val="center"/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highlight w:val="none"/>
          <w:lang w:val="ru-RU"/>
        </w:rPr>
        <w:t>Результаты ВПР</w:t>
      </w:r>
    </w:p>
    <w:p>
      <w:pPr>
        <w:shd w:val="clear"/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highlight w:val="none"/>
          <w:lang w:val="ru-RU"/>
        </w:rPr>
        <w:t>Осень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highlight w:val="non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highlight w:val="none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  <w:t xml:space="preserve"> </w:t>
      </w:r>
    </w:p>
    <w:p>
      <w:pPr>
        <w:spacing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>Информация о подтверждении на ВПР 2020 года годовой отметки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:</w:t>
      </w:r>
    </w:p>
    <w:p>
      <w:pPr>
        <w:spacing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МБОУ «Дядьковская СШ» школа была открыта в сентябре 2020 года, и с 1 сентября 2020 года в ней обучаются дети из разных школ г. Рязань и близлежащих населенных пунктов.</w:t>
      </w:r>
    </w:p>
    <w:p>
      <w:pPr>
        <w:spacing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От 50 до 100% учащихся получили на ВПР отметку ниже годовой, от 1 до 50% учащихся подтвердили годовую отметку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и от 4 до 9% учащихся получили на ВПР отметку выше годовой.</w:t>
      </w:r>
    </w:p>
    <w:p>
      <w:pPr>
        <w:spacing w:after="0"/>
        <w:jc w:val="both"/>
        <w:textAlignment w:val="baseline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2020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ВсОШ.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ВсОШ прошли школьный и муниципальный этапы. Анализируя результаты двух этапов: качественные показатели - 35,36,7% победителей и призеров от общего числа участников (5-10 классы) школьного этапа и  23,8% победителей и призеров от общего числа участников муниципального этапа ВсОШ.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2020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мероприятий, которые проведены в Школе в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по вопросу подготовки педагогов к новой модели аттестации свидетельствует об отсутствии системности в работе по этому направлению. Так, методическое объединение учителей начальной школы один раз в плане работы отразило вопрос о новых подходах к аттестации, а методические объединения учителей иностранных языков и естественно-научного цикла рассмотрели нововведения в общих чертах. Объяснением сложившейся ситуации может служить сохранение действующей модели аттестации до 31.12.2020 и отсутствие утвержденных на федеральном уровне документов, закрепляющих новую.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коронавирусной инфекции, что является закономерным. Для понимания ситуации в Школе было проведено исследование, результаты которого демонстрируют, что 24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32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основной и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средней школы, а также 30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 считают, что им не хватает компетенций для подготовки к дистанционным занятиям. 18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основной и 24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средней школы, а также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 полагают, что им недостаточно компетенций для применения дистанционных инструментов при реализации программ (см. гистограмму). 65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отметили, что ранее не практиковали такую форму обучения и у них не было никакого опыта для ее реализации.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данных по совершенствованию ИКТ-компетенций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связи с выявленными проблемами в системе работы с кадрами заместителю директора по УВР необходимо проработать вопрос с руководителями профессиональных объединений, составить план подготовки к аттестации и приступить к его реализации.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>
      <w:pPr>
        <w:jc w:val="both"/>
        <w:rPr>
          <w:sz w:val="24"/>
          <w:lang w:val="ru-RU"/>
        </w:rPr>
      </w:pPr>
      <w:r>
        <w:rPr>
          <w:sz w:val="24"/>
          <w:lang w:val="ru-RU"/>
        </w:rPr>
        <w:t>Сведения о школьной библиотеке:</w:t>
      </w:r>
    </w:p>
    <w:p>
      <w:pPr>
        <w:numPr>
          <w:ilvl w:val="0"/>
          <w:numId w:val="18"/>
        </w:numPr>
        <w:spacing w:before="0" w:beforeAutospacing="0" w:after="0" w:afterAutospacing="0"/>
        <w:jc w:val="both"/>
        <w:rPr>
          <w:sz w:val="24"/>
          <w:lang w:val="ru-RU"/>
        </w:rPr>
      </w:pPr>
      <w:r>
        <w:rPr>
          <w:sz w:val="24"/>
          <w:lang w:val="ru-RU"/>
        </w:rPr>
        <w:t>общее количество книг, брошюр, журналов и пр.  2665 экз.</w:t>
      </w:r>
    </w:p>
    <w:p>
      <w:pPr>
        <w:numPr>
          <w:ilvl w:val="0"/>
          <w:numId w:val="18"/>
        </w:numPr>
        <w:spacing w:before="0" w:beforeAutospacing="0" w:after="0" w:afterAutospacing="0"/>
        <w:jc w:val="both"/>
        <w:rPr>
          <w:sz w:val="24"/>
          <w:lang w:val="ru-RU"/>
        </w:rPr>
      </w:pPr>
      <w:r>
        <w:rPr>
          <w:sz w:val="24"/>
          <w:lang w:val="ru-RU"/>
        </w:rPr>
        <w:t>количество школьных учебников 9543 экз.</w:t>
      </w:r>
    </w:p>
    <w:p>
      <w:pPr>
        <w:numPr>
          <w:ilvl w:val="0"/>
          <w:numId w:val="18"/>
        </w:numPr>
        <w:spacing w:before="0" w:beforeAutospacing="0" w:after="0" w:afterAutospacing="0"/>
        <w:jc w:val="both"/>
        <w:rPr>
          <w:sz w:val="24"/>
          <w:lang w:val="ru-RU"/>
        </w:rPr>
      </w:pPr>
      <w:r>
        <w:rPr>
          <w:sz w:val="24"/>
          <w:lang w:val="ru-RU"/>
        </w:rPr>
        <w:t>число книг (учебников, брошюр, журналов), приходящихся на одного ученика 28 экз.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регионального и муниципального бюджетов.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 Состав фонда и его использование</w:t>
      </w:r>
    </w:p>
    <w:tbl>
      <w:tblPr>
        <w:tblStyle w:val="4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3830"/>
        <w:gridCol w:w="27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8 387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литература 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 документы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от 28.12.2018 № 345.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 Отсутствует финансирование библиотеки на закупку периодических изданий и обновление фонда художественной литературы.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компьютерных класса;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При этом педагоги на уровне выше среднего оценивают готовность материально-технической базы Школы для обучения в традиционном формате. Так, 65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опрошенных отмечают наличие в Школе компьютерной техники, образовательных онлайн-платформ, доступ к интернету и пр. При этом 32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и дистанционном формате, материально-техническую базу для работы. Однако стоит отметить, что 13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считают, что материально-техническая база Школы частично готова к реализации программ в дистанционном или смешанном формате. 35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опрошенных педагогов и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родителей, включая их детей, отметили нестабильность подачи интернета.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t>СТАТИСТИЧЕСКАЯ ЧАСТЬ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9"/>
        <w:gridCol w:w="1422"/>
        <w:gridCol w:w="23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165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24,9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35/87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4/10%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15/38%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9/23%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662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,98</w:t>
            </w:r>
          </w:p>
        </w:tc>
      </w:tr>
    </w:tbl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</w:r>
      <w:r>
        <w:rPr>
          <w:lang w:val="ru-RU"/>
        </w:rPr>
        <w:br w:type="textWrapping"/>
      </w:r>
    </w:p>
    <w:sectPr>
      <w:footerReference r:id="rId4" w:type="default"/>
      <w:pgSz w:w="11907" w:h="16839"/>
      <w:pgMar w:top="1440" w:right="567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37415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16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00EB"/>
    <w:multiLevelType w:val="multilevel"/>
    <w:tmpl w:val="06E000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774537"/>
    <w:multiLevelType w:val="multilevel"/>
    <w:tmpl w:val="097745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3B96748"/>
    <w:multiLevelType w:val="multilevel"/>
    <w:tmpl w:val="13B967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9B573D3"/>
    <w:multiLevelType w:val="multilevel"/>
    <w:tmpl w:val="19B573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A231E9"/>
    <w:multiLevelType w:val="multilevel"/>
    <w:tmpl w:val="2AA231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0393F6D"/>
    <w:multiLevelType w:val="multilevel"/>
    <w:tmpl w:val="30393F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3D1709F"/>
    <w:multiLevelType w:val="multilevel"/>
    <w:tmpl w:val="43D170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6770039"/>
    <w:multiLevelType w:val="multilevel"/>
    <w:tmpl w:val="467700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4F041DD1"/>
    <w:multiLevelType w:val="multilevel"/>
    <w:tmpl w:val="4F041D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4AF00B1"/>
    <w:multiLevelType w:val="multilevel"/>
    <w:tmpl w:val="54AF00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5E4616C"/>
    <w:multiLevelType w:val="multilevel"/>
    <w:tmpl w:val="55E461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57E49"/>
    <w:multiLevelType w:val="multilevel"/>
    <w:tmpl w:val="5A757E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DD74F56"/>
    <w:multiLevelType w:val="multilevel"/>
    <w:tmpl w:val="5DD74F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0D172BF"/>
    <w:multiLevelType w:val="multilevel"/>
    <w:tmpl w:val="60D172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D0943C4"/>
    <w:multiLevelType w:val="multilevel"/>
    <w:tmpl w:val="6D0943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61B4392"/>
    <w:multiLevelType w:val="multilevel"/>
    <w:tmpl w:val="761B43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6BE30A7"/>
    <w:multiLevelType w:val="multilevel"/>
    <w:tmpl w:val="76BE30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7803515"/>
    <w:multiLevelType w:val="multilevel"/>
    <w:tmpl w:val="778035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CFC35FC"/>
    <w:multiLevelType w:val="multilevel"/>
    <w:tmpl w:val="7CFC35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15"/>
  </w:num>
  <w:num w:numId="6">
    <w:abstractNumId w:val="17"/>
  </w:num>
  <w:num w:numId="7">
    <w:abstractNumId w:val="3"/>
  </w:num>
  <w:num w:numId="8">
    <w:abstractNumId w:val="8"/>
  </w:num>
  <w:num w:numId="9">
    <w:abstractNumId w:val="16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10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0C07"/>
    <w:rsid w:val="00051919"/>
    <w:rsid w:val="00063E11"/>
    <w:rsid w:val="00131703"/>
    <w:rsid w:val="00147CAC"/>
    <w:rsid w:val="00176041"/>
    <w:rsid w:val="001945A5"/>
    <w:rsid w:val="0020319F"/>
    <w:rsid w:val="0026659A"/>
    <w:rsid w:val="00293F9C"/>
    <w:rsid w:val="002A762B"/>
    <w:rsid w:val="002D33B1"/>
    <w:rsid w:val="002D3591"/>
    <w:rsid w:val="002F20BE"/>
    <w:rsid w:val="002F5055"/>
    <w:rsid w:val="00343308"/>
    <w:rsid w:val="003514A0"/>
    <w:rsid w:val="00401E57"/>
    <w:rsid w:val="00401F9A"/>
    <w:rsid w:val="00444CAF"/>
    <w:rsid w:val="004F7E17"/>
    <w:rsid w:val="0055455F"/>
    <w:rsid w:val="005A05CE"/>
    <w:rsid w:val="006262DD"/>
    <w:rsid w:val="00653AF6"/>
    <w:rsid w:val="006841B3"/>
    <w:rsid w:val="0068674F"/>
    <w:rsid w:val="006969B5"/>
    <w:rsid w:val="006D1E38"/>
    <w:rsid w:val="006D5601"/>
    <w:rsid w:val="00710A80"/>
    <w:rsid w:val="00726DCE"/>
    <w:rsid w:val="007F7F1A"/>
    <w:rsid w:val="00806139"/>
    <w:rsid w:val="008D422E"/>
    <w:rsid w:val="008E6140"/>
    <w:rsid w:val="009578C2"/>
    <w:rsid w:val="009D22E2"/>
    <w:rsid w:val="009E7EF3"/>
    <w:rsid w:val="00A40EC1"/>
    <w:rsid w:val="00AA7E5A"/>
    <w:rsid w:val="00AD7E58"/>
    <w:rsid w:val="00B008B6"/>
    <w:rsid w:val="00B01D8A"/>
    <w:rsid w:val="00B071F5"/>
    <w:rsid w:val="00B73A5A"/>
    <w:rsid w:val="00C171FA"/>
    <w:rsid w:val="00C92E59"/>
    <w:rsid w:val="00CE71CD"/>
    <w:rsid w:val="00D0296F"/>
    <w:rsid w:val="00D132C4"/>
    <w:rsid w:val="00DC4FE5"/>
    <w:rsid w:val="00E277D1"/>
    <w:rsid w:val="00E438A1"/>
    <w:rsid w:val="00F01E19"/>
    <w:rsid w:val="00F514FD"/>
    <w:rsid w:val="1CAA408C"/>
    <w:rsid w:val="4A1B3941"/>
    <w:rsid w:val="5271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7"/>
    <w:semiHidden/>
    <w:unhideWhenUsed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5"/>
    <w:semiHidden/>
    <w:unhideWhenUsed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6"/>
    <w:semiHidden/>
    <w:unhideWhenUsed/>
    <w:uiPriority w:val="99"/>
    <w:rPr>
      <w:b/>
      <w:bCs/>
    </w:rPr>
  </w:style>
  <w:style w:type="paragraph" w:styleId="10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before="0" w:after="0"/>
    </w:pPr>
  </w:style>
  <w:style w:type="paragraph" w:styleId="11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before="0" w:after="0"/>
    </w:pPr>
  </w:style>
  <w:style w:type="paragraph" w:styleId="12">
    <w:name w:val="Normal (Web)"/>
    <w:basedOn w:val="1"/>
    <w:semiHidden/>
    <w:unhideWhenUsed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13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5">
    <w:name w:val="Текст примечания Знак"/>
    <w:basedOn w:val="3"/>
    <w:link w:val="8"/>
    <w:semiHidden/>
    <w:uiPriority w:val="99"/>
    <w:rPr>
      <w:sz w:val="20"/>
      <w:szCs w:val="20"/>
    </w:rPr>
  </w:style>
  <w:style w:type="character" w:customStyle="1" w:styleId="16">
    <w:name w:val="Тема примечания Знак"/>
    <w:basedOn w:val="15"/>
    <w:link w:val="9"/>
    <w:semiHidden/>
    <w:uiPriority w:val="99"/>
    <w:rPr>
      <w:b/>
      <w:bCs/>
      <w:sz w:val="20"/>
      <w:szCs w:val="20"/>
    </w:rPr>
  </w:style>
  <w:style w:type="character" w:customStyle="1" w:styleId="17">
    <w:name w:val="Текст выноски Знак"/>
    <w:basedOn w:val="3"/>
    <w:link w:val="7"/>
    <w:semiHidden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Верхний колонтитул Знак"/>
    <w:basedOn w:val="3"/>
    <w:link w:val="10"/>
    <w:uiPriority w:val="99"/>
  </w:style>
  <w:style w:type="character" w:customStyle="1" w:styleId="20">
    <w:name w:val="Нижний колонтитул Знак"/>
    <w:basedOn w:val="3"/>
    <w:link w:val="11"/>
    <w:uiPriority w:val="99"/>
  </w:style>
  <w:style w:type="character" w:customStyle="1" w:styleId="21">
    <w:name w:val="fill"/>
    <w:basedOn w:val="3"/>
    <w:uiPriority w:val="0"/>
  </w:style>
  <w:style w:type="character" w:customStyle="1" w:styleId="22">
    <w:name w:val="sfwc"/>
    <w:basedOn w:val="3"/>
    <w:uiPriority w:val="0"/>
  </w:style>
  <w:style w:type="character" w:customStyle="1" w:styleId="23">
    <w:name w:val="Intense Reference"/>
    <w:basedOn w:val="3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24">
    <w:name w:val="Subtle Reference"/>
    <w:basedOn w:val="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4586</Words>
  <Characters>26141</Characters>
  <Lines>217</Lines>
  <Paragraphs>61</Paragraphs>
  <TotalTime>409</TotalTime>
  <ScaleCrop>false</ScaleCrop>
  <LinksUpToDate>false</LinksUpToDate>
  <CharactersWithSpaces>30666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2021-04-17T06:42:00Z</dcterms:created>
  <dc:creator>Пользователь</dc:creator>
  <dc:description>Подготовлено экспертами Актион-МЦФЭР</dc:description>
  <cp:lastModifiedBy>Вадим Мишин</cp:lastModifiedBy>
  <dcterms:modified xsi:type="dcterms:W3CDTF">2023-02-04T21:37:12Z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76D6DD9C4E764A61B2EDD02F9014848F</vt:lpwstr>
  </property>
</Properties>
</file>